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D" w:rsidRDefault="00A217DD" w:rsidP="00A217DD">
      <w:pPr>
        <w:jc w:val="center"/>
      </w:pPr>
      <w:r>
        <w:rPr>
          <w:rFonts w:ascii="Calibri" w:hAnsi="Calibri" w:cs="Calibri"/>
          <w:b/>
          <w:u w:val="single"/>
        </w:rPr>
        <w:t xml:space="preserve">Specyfikacja spektralnego tomografu okulistycznego </w:t>
      </w:r>
    </w:p>
    <w:p w:rsidR="00A217DD" w:rsidRDefault="00A217DD" w:rsidP="00A217DD">
      <w:pPr>
        <w:rPr>
          <w:rFonts w:ascii="Calibri" w:hAnsi="Calibri" w:cs="Calibri"/>
          <w:b/>
          <w:sz w:val="22"/>
        </w:rPr>
      </w:pPr>
    </w:p>
    <w:p w:rsidR="00A217DD" w:rsidRDefault="00A217DD" w:rsidP="00A217DD">
      <w:bookmarkStart w:id="0" w:name="_GoBack"/>
      <w:bookmarkEnd w:id="0"/>
      <w:r>
        <w:rPr>
          <w:rFonts w:ascii="Calibri" w:hAnsi="Calibri" w:cs="Calibri"/>
          <w:b/>
          <w:sz w:val="22"/>
        </w:rPr>
        <w:t xml:space="preserve">Typ/model oferowanego sprzętu: </w:t>
      </w:r>
      <w:r>
        <w:rPr>
          <w:rFonts w:ascii="Calibri" w:hAnsi="Calibri" w:cs="Calibri"/>
          <w:sz w:val="22"/>
        </w:rPr>
        <w:t>.......................................</w:t>
      </w:r>
    </w:p>
    <w:p w:rsidR="00A217DD" w:rsidRDefault="00A217DD" w:rsidP="00A217DD">
      <w:r>
        <w:rPr>
          <w:rFonts w:ascii="Calibri" w:hAnsi="Calibri" w:cs="Calibri"/>
          <w:b/>
          <w:sz w:val="22"/>
        </w:rPr>
        <w:t xml:space="preserve">Producent: </w:t>
      </w:r>
      <w:r>
        <w:rPr>
          <w:rFonts w:ascii="Calibri" w:hAnsi="Calibri" w:cs="Calibri"/>
          <w:sz w:val="22"/>
        </w:rPr>
        <w:t>............................................................................</w:t>
      </w:r>
    </w:p>
    <w:p w:rsidR="00A217DD" w:rsidRDefault="00A217DD" w:rsidP="00A217DD">
      <w:r>
        <w:rPr>
          <w:rFonts w:ascii="Calibri" w:hAnsi="Calibri" w:cs="Calibri"/>
          <w:b/>
          <w:sz w:val="22"/>
        </w:rPr>
        <w:t xml:space="preserve">Kraj produkcji: </w:t>
      </w:r>
      <w:r>
        <w:rPr>
          <w:rFonts w:ascii="Calibri" w:hAnsi="Calibri" w:cs="Calibri"/>
          <w:sz w:val="22"/>
        </w:rPr>
        <w:t>...................................................................</w:t>
      </w:r>
    </w:p>
    <w:p w:rsidR="00A217DD" w:rsidRDefault="00A217DD" w:rsidP="00A217DD">
      <w:pPr>
        <w:jc w:val="both"/>
      </w:pPr>
      <w:r>
        <w:rPr>
          <w:rFonts w:ascii="Calibri" w:hAnsi="Calibri" w:cs="Calibri"/>
          <w:sz w:val="22"/>
        </w:rPr>
        <w:t>Niespełnienie co najmniej jednego z postawionych poniżej wymagań co do ich wartości minimalnych spowoduje odrzucenie oferty.</w:t>
      </w:r>
    </w:p>
    <w:p w:rsidR="00A217DD" w:rsidRDefault="00A217DD" w:rsidP="00A217DD">
      <w:r>
        <w:rPr>
          <w:rFonts w:ascii="Calibri" w:hAnsi="Calibri" w:cs="Calibri"/>
          <w:b/>
          <w:bCs/>
          <w:i/>
          <w:iCs/>
          <w:sz w:val="20"/>
          <w:szCs w:val="16"/>
        </w:rPr>
        <w:t>Kolumnę 4 wypełnia Wykonawca.</w:t>
      </w:r>
    </w:p>
    <w:tbl>
      <w:tblPr>
        <w:tblW w:w="9843" w:type="dxa"/>
        <w:tblInd w:w="-4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4657"/>
        <w:gridCol w:w="2126"/>
        <w:gridCol w:w="2268"/>
      </w:tblGrid>
      <w:tr w:rsidR="00A217DD" w:rsidTr="00A217DD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L.p.</w:t>
            </w:r>
          </w:p>
        </w:tc>
        <w:tc>
          <w:tcPr>
            <w:tcW w:w="4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OPIS PARAMETRÓW WYMAGANYCH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Parametr wymagany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 xml:space="preserve">Odpowiedź Wykonawcy </w:t>
            </w:r>
          </w:p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- TAK/NIE</w:t>
            </w:r>
          </w:p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t>parametry oferowane - należy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16"/>
              </w:rPr>
              <w:br/>
              <w:t>podać zakresy lub opisać</w:t>
            </w:r>
          </w:p>
        </w:tc>
      </w:tr>
      <w:tr w:rsidR="00A217DD" w:rsidTr="00A217DD">
        <w:tc>
          <w:tcPr>
            <w:tcW w:w="984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APARAT OCT – OPTYCZNY TOMOGRAF</w:t>
            </w: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1</w:t>
            </w: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16"/>
              </w:rPr>
              <w:t>4</w:t>
            </w: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Aparat fabrycznie nowy, nie używany, rok produkcji 2021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Technologia pracy: spektralne OCT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TAK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Szybkość skanowania: minimum 60 000 [</w:t>
            </w:r>
            <w:proofErr w:type="spellStart"/>
            <w:r>
              <w:rPr>
                <w:rFonts w:cs="Calibri"/>
                <w:sz w:val="22"/>
                <w:szCs w:val="22"/>
              </w:rPr>
              <w:t>Askan</w:t>
            </w:r>
            <w:proofErr w:type="spellEnd"/>
            <w:r>
              <w:rPr>
                <w:rFonts w:cs="Calibri"/>
                <w:sz w:val="22"/>
                <w:szCs w:val="22"/>
              </w:rPr>
              <w:t>/sek.]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Optyczna rozdzielczość osiowa w tkance: minimum 5 [µm]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</w:pPr>
            <w:r>
              <w:rPr>
                <w:rFonts w:cs="Calibri"/>
                <w:sz w:val="22"/>
                <w:szCs w:val="22"/>
              </w:rPr>
              <w:t>Optyczna rozdzielczość poprzeczna w tkance: minimum 18 [µm]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Całkowita głębokość skanowania: minimum 2,4 [mm]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Maksymalny obszar skanowania siatkówki: minimum 12 x 12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Maksymalny obszar skanowania przedniego odcinka oka: minimum 16 x 16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Minimalna średnica źrenicy pacjenta: maksymalnie 3 [mm].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pStyle w:val="Zawartotabeli"/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>Zakres kompensacji wady wzroku pacjenta (regulacja ogniskowania): minimum od -25D do +25D.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66"/>
              <w:jc w:val="both"/>
            </w:pPr>
            <w:proofErr w:type="spellStart"/>
            <w:r>
              <w:rPr>
                <w:rFonts w:cs="Calibri"/>
                <w:sz w:val="22"/>
                <w:szCs w:val="22"/>
              </w:rPr>
              <w:t>Fiksator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wewnętrzny o zmiennej wielkości z płynną regulacją położenia.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Dostępność analiz siatkówki:</w:t>
            </w:r>
          </w:p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 xml:space="preserve">mapa grubości siatkówki; </w:t>
            </w:r>
          </w:p>
          <w:p w:rsidR="00A217DD" w:rsidRDefault="00A217DD">
            <w:pPr>
              <w:ind w:left="66"/>
              <w:jc w:val="both"/>
            </w:pPr>
            <w:r>
              <w:rPr>
                <w:rFonts w:cs="Calibri"/>
                <w:sz w:val="22"/>
                <w:szCs w:val="22"/>
              </w:rPr>
              <w:t>mapa grubości wewnętrznych i zewnętrznych warstw siatkówki;</w:t>
            </w:r>
          </w:p>
          <w:p w:rsidR="00A217DD" w:rsidRDefault="00A217DD">
            <w:pPr>
              <w:jc w:val="both"/>
            </w:pPr>
            <w:r>
              <w:rPr>
                <w:rFonts w:eastAsia="Calibri"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mapa deformacji nabłonka barwnikowego.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Dostępność analiz w kierunku jaskry: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grubości RNFL wokół tarczy nerwu wzrokowego z regulowaną średnicą i grubością pierścienia pomiarowego;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ocena morfologii tarczy nerwu wzrokowego;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lastRenderedPageBreak/>
              <w:t>automatyczna ocena prawdopodobieństwa uszkodzenia tarczy nerwu wzrokowego (DDLS);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komórek zwojowych w postaci analizy GCC (warstwy RNFL + GCL + IP) oraz analizy GC (warstwy GCL + IPL);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color w:val="000000"/>
                <w:sz w:val="22"/>
                <w:szCs w:val="22"/>
              </w:rPr>
              <w:t>analiza symetrii wszystkich powyższych parametrów dla obu gałek ocznych.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Analiza przedniego odcinka oka: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mapa </w:t>
            </w:r>
            <w:proofErr w:type="spellStart"/>
            <w:r>
              <w:rPr>
                <w:rFonts w:cs="Calibri"/>
                <w:sz w:val="22"/>
                <w:szCs w:val="22"/>
              </w:rPr>
              <w:t>pachymetryczna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rogówki z zaznaczeniem najcieńszego miejsca rogówki;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pomiar kąta przesączania (automatyczne wyznaczanie parametrów AOD 500/750 i TISA 500/750);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pomiary dwóch przeciwległych kątów przesączania na jednym </w:t>
            </w:r>
            <w:proofErr w:type="spellStart"/>
            <w:r>
              <w:rPr>
                <w:rFonts w:cs="Calibri"/>
                <w:sz w:val="22"/>
                <w:szCs w:val="22"/>
              </w:rPr>
              <w:t>tomogramie</w:t>
            </w:r>
            <w:proofErr w:type="spellEnd"/>
            <w:r>
              <w:rPr>
                <w:rFonts w:cs="Calibri"/>
                <w:sz w:val="22"/>
                <w:szCs w:val="22"/>
              </w:rPr>
              <w:t>;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automatyczne wyliczanie korekcji ciśnienia wewnątrzgałkowego na podstawie centralnej grubości rogówki (AIOP).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Możliwość chronologicznego porównania wyników: minimum 6 badań.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Oprogramowanie obsługujące urządzenie w języku polskim.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Możliwość wykonania badania w trzech trybach: automatycznym, półautomatycznym (tzn. automatyczne pozycjonowanie głowicy i ręczne rozpoczęcie skanowania) i ręcznym.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 xml:space="preserve">W zestawie z tomografem musi być dostarczony stolik z elektryczną regulacją wysokości blatu, </w:t>
            </w:r>
          </w:p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komputer sterujący tomografem ( bez drukarki)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Oprogramowanie sterujące tomografem musi umożliwiać odtwarzanie komunikatów głosowych dla pacjenta – komunikaty w języku polskim z możliwością ich wyłączenia.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ind w:left="100"/>
              <w:jc w:val="both"/>
            </w:pPr>
            <w:r>
              <w:rPr>
                <w:rFonts w:cs="Calibri"/>
                <w:sz w:val="22"/>
                <w:szCs w:val="22"/>
              </w:rPr>
              <w:t>Bezpłatna aktualizacja oprogramowania w okresie gwarancyjnym i pogwarancyjnym.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Okres gwarancji na min. 24 m-ce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Szkolenie personelu w zakresie obsługi dostarczonego sprzętu w terminie uzgodnionym z użytkownikiem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10 letni okres zagwarantowania dostępności części zamiennych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Ilość przeglądów technicznych urządzenia zalecanych przez producenta w okresie trwania gwarancji min. 1 przegląd /rok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Przegląd techniczny w okresie trwania gwarancji wykonywane będą na koszt dostawcy sprzętu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Instrukcja obsługi w języku polskim w wersji papierowej i na CD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Wykonawca zapewni bezpłatną dostawę i montaż urządzenia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Wszystkie przeglądy techniczne w czasie trwania gwarancji udokumentowane będą wpisem do paszportu technicznego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Termin dostawy do 3 tygodni od zamówienia/podpisania umowy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7DD" w:rsidTr="00A217DD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17DD" w:rsidRDefault="00A217DD" w:rsidP="00B15FB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217DD" w:rsidRDefault="00A217DD">
            <w:pPr>
              <w:pStyle w:val="Zawartotabeli"/>
            </w:pPr>
            <w:r>
              <w:rPr>
                <w:sz w:val="22"/>
                <w:szCs w:val="22"/>
              </w:rPr>
              <w:t>Czas naprawy gwarancyjnej ( dni robocze od poniedziałku do piątku z wyłączeniem dni ustawowo wolnych od pracy) max 5 dni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217DD" w:rsidRDefault="00A217DD">
            <w:pPr>
              <w:jc w:val="center"/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7DD" w:rsidRDefault="00A217DD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217DD" w:rsidRDefault="00A217DD" w:rsidP="00A217DD">
      <w:pPr>
        <w:spacing w:after="40"/>
        <w:jc w:val="right"/>
        <w:rPr>
          <w:rFonts w:ascii="Calibri" w:hAnsi="Calibri" w:cs="Calibri"/>
          <w:b/>
          <w:bCs/>
          <w:i/>
          <w:iCs/>
          <w:sz w:val="20"/>
        </w:rPr>
      </w:pPr>
    </w:p>
    <w:p w:rsidR="00A217DD" w:rsidRDefault="00A217DD" w:rsidP="00A217DD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A66DCC" w:rsidRDefault="00A66DCC"/>
    <w:sectPr w:rsidR="00A6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1219"/>
        </w:tabs>
        <w:ind w:left="1304" w:hanging="12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F"/>
    <w:rsid w:val="00850C5F"/>
    <w:rsid w:val="00A217DD"/>
    <w:rsid w:val="00A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7DD"/>
    <w:pPr>
      <w:suppressLineNumbers/>
    </w:pPr>
    <w:rPr>
      <w:rFonts w:eastAsia="MS Minch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2</cp:revision>
  <dcterms:created xsi:type="dcterms:W3CDTF">2021-09-06T11:57:00Z</dcterms:created>
  <dcterms:modified xsi:type="dcterms:W3CDTF">2021-09-06T11:58:00Z</dcterms:modified>
</cp:coreProperties>
</file>